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0A" w:rsidRPr="00235EDB" w:rsidRDefault="00A21FEA" w:rsidP="00235EDB">
      <w:pPr>
        <w:spacing w:after="0" w:line="240" w:lineRule="auto"/>
        <w:rPr>
          <w:rFonts w:ascii="Arial" w:hAnsi="Arial" w:cs="Arial"/>
          <w:b/>
          <w:sz w:val="20"/>
          <w:szCs w:val="20"/>
        </w:rPr>
      </w:pPr>
      <w:bookmarkStart w:id="0" w:name="_GoBack"/>
      <w:bookmarkEnd w:id="0"/>
      <w:r w:rsidRPr="00235EDB">
        <w:rPr>
          <w:rFonts w:ascii="Arial" w:hAnsi="Arial" w:cs="Arial"/>
          <w:b/>
          <w:sz w:val="20"/>
          <w:szCs w:val="20"/>
        </w:rPr>
        <w:t>R</w:t>
      </w:r>
      <w:r w:rsidR="00DD31A8" w:rsidRPr="00235EDB">
        <w:rPr>
          <w:rFonts w:ascii="Arial" w:hAnsi="Arial" w:cs="Arial"/>
          <w:b/>
          <w:sz w:val="20"/>
          <w:szCs w:val="20"/>
        </w:rPr>
        <w:t xml:space="preserve"> </w:t>
      </w:r>
      <w:r w:rsidRPr="00235EDB">
        <w:rPr>
          <w:rFonts w:ascii="Arial" w:hAnsi="Arial" w:cs="Arial"/>
          <w:b/>
          <w:sz w:val="20"/>
          <w:szCs w:val="20"/>
        </w:rPr>
        <w:t>E</w:t>
      </w:r>
      <w:r w:rsidR="00DD31A8" w:rsidRPr="00235EDB">
        <w:rPr>
          <w:rFonts w:ascii="Arial" w:hAnsi="Arial" w:cs="Arial"/>
          <w:b/>
          <w:sz w:val="20"/>
          <w:szCs w:val="20"/>
        </w:rPr>
        <w:t xml:space="preserve"> </w:t>
      </w:r>
      <w:r w:rsidRPr="00235EDB">
        <w:rPr>
          <w:rFonts w:ascii="Arial" w:hAnsi="Arial" w:cs="Arial"/>
          <w:b/>
          <w:sz w:val="20"/>
          <w:szCs w:val="20"/>
        </w:rPr>
        <w:t>P</w:t>
      </w:r>
      <w:r w:rsidR="00DD31A8" w:rsidRPr="00235EDB">
        <w:rPr>
          <w:rFonts w:ascii="Arial" w:hAnsi="Arial" w:cs="Arial"/>
          <w:b/>
          <w:sz w:val="20"/>
          <w:szCs w:val="20"/>
        </w:rPr>
        <w:t xml:space="preserve"> </w:t>
      </w:r>
      <w:r w:rsidRPr="00235EDB">
        <w:rPr>
          <w:rFonts w:ascii="Arial" w:hAnsi="Arial" w:cs="Arial"/>
          <w:b/>
          <w:sz w:val="20"/>
          <w:szCs w:val="20"/>
        </w:rPr>
        <w:t>U</w:t>
      </w:r>
      <w:r w:rsidR="00DD31A8" w:rsidRPr="00235EDB">
        <w:rPr>
          <w:rFonts w:ascii="Arial" w:hAnsi="Arial" w:cs="Arial"/>
          <w:b/>
          <w:sz w:val="20"/>
          <w:szCs w:val="20"/>
        </w:rPr>
        <w:t xml:space="preserve"> </w:t>
      </w:r>
      <w:r w:rsidRPr="00235EDB">
        <w:rPr>
          <w:rFonts w:ascii="Arial" w:hAnsi="Arial" w:cs="Arial"/>
          <w:b/>
          <w:sz w:val="20"/>
          <w:szCs w:val="20"/>
        </w:rPr>
        <w:t>B</w:t>
      </w:r>
      <w:r w:rsidR="00DD31A8" w:rsidRPr="00235EDB">
        <w:rPr>
          <w:rFonts w:ascii="Arial" w:hAnsi="Arial" w:cs="Arial"/>
          <w:b/>
          <w:sz w:val="20"/>
          <w:szCs w:val="20"/>
        </w:rPr>
        <w:t xml:space="preserve"> </w:t>
      </w:r>
      <w:r w:rsidRPr="00235EDB">
        <w:rPr>
          <w:rFonts w:ascii="Arial" w:hAnsi="Arial" w:cs="Arial"/>
          <w:b/>
          <w:sz w:val="20"/>
          <w:szCs w:val="20"/>
        </w:rPr>
        <w:t>L</w:t>
      </w:r>
      <w:r w:rsidR="00DD31A8" w:rsidRPr="00235EDB">
        <w:rPr>
          <w:rFonts w:ascii="Arial" w:hAnsi="Arial" w:cs="Arial"/>
          <w:b/>
          <w:sz w:val="20"/>
          <w:szCs w:val="20"/>
        </w:rPr>
        <w:t xml:space="preserve"> </w:t>
      </w:r>
      <w:r w:rsidRPr="00235EDB">
        <w:rPr>
          <w:rFonts w:ascii="Arial" w:hAnsi="Arial" w:cs="Arial"/>
          <w:b/>
          <w:sz w:val="20"/>
          <w:szCs w:val="20"/>
        </w:rPr>
        <w:t>I</w:t>
      </w:r>
      <w:r w:rsidR="00DD31A8" w:rsidRPr="00235EDB">
        <w:rPr>
          <w:rFonts w:ascii="Arial" w:hAnsi="Arial" w:cs="Arial"/>
          <w:b/>
          <w:sz w:val="20"/>
          <w:szCs w:val="20"/>
        </w:rPr>
        <w:t xml:space="preserve"> </w:t>
      </w:r>
      <w:r w:rsidRPr="00235EDB">
        <w:rPr>
          <w:rFonts w:ascii="Arial" w:hAnsi="Arial" w:cs="Arial"/>
          <w:b/>
          <w:sz w:val="20"/>
          <w:szCs w:val="20"/>
        </w:rPr>
        <w:t>K</w:t>
      </w:r>
      <w:r w:rsidR="00DD31A8" w:rsidRPr="00235EDB">
        <w:rPr>
          <w:rFonts w:ascii="Arial" w:hAnsi="Arial" w:cs="Arial"/>
          <w:b/>
          <w:sz w:val="20"/>
          <w:szCs w:val="20"/>
        </w:rPr>
        <w:t xml:space="preserve"> </w:t>
      </w:r>
      <w:r w:rsidRPr="00235EDB">
        <w:rPr>
          <w:rFonts w:ascii="Arial" w:hAnsi="Arial" w:cs="Arial"/>
          <w:b/>
          <w:sz w:val="20"/>
          <w:szCs w:val="20"/>
        </w:rPr>
        <w:t xml:space="preserve">A </w:t>
      </w:r>
      <w:r w:rsidR="00DD31A8" w:rsidRPr="00235EDB">
        <w:rPr>
          <w:rFonts w:ascii="Arial" w:hAnsi="Arial" w:cs="Arial"/>
          <w:b/>
          <w:sz w:val="20"/>
          <w:szCs w:val="20"/>
        </w:rPr>
        <w:t xml:space="preserve"> </w:t>
      </w:r>
      <w:r w:rsidRPr="00235EDB">
        <w:rPr>
          <w:rFonts w:ascii="Arial" w:hAnsi="Arial" w:cs="Arial"/>
          <w:b/>
          <w:sz w:val="20"/>
          <w:szCs w:val="20"/>
        </w:rPr>
        <w:t>H</w:t>
      </w:r>
      <w:r w:rsidR="00DD31A8" w:rsidRPr="00235EDB">
        <w:rPr>
          <w:rFonts w:ascii="Arial" w:hAnsi="Arial" w:cs="Arial"/>
          <w:b/>
          <w:sz w:val="20"/>
          <w:szCs w:val="20"/>
        </w:rPr>
        <w:t xml:space="preserve"> </w:t>
      </w:r>
      <w:r w:rsidRPr="00235EDB">
        <w:rPr>
          <w:rFonts w:ascii="Arial" w:hAnsi="Arial" w:cs="Arial"/>
          <w:b/>
          <w:sz w:val="20"/>
          <w:szCs w:val="20"/>
        </w:rPr>
        <w:t>R</w:t>
      </w:r>
      <w:r w:rsidR="00DD31A8" w:rsidRPr="00235EDB">
        <w:rPr>
          <w:rFonts w:ascii="Arial" w:hAnsi="Arial" w:cs="Arial"/>
          <w:b/>
          <w:sz w:val="20"/>
          <w:szCs w:val="20"/>
        </w:rPr>
        <w:t xml:space="preserve"> </w:t>
      </w:r>
      <w:r w:rsidRPr="00235EDB">
        <w:rPr>
          <w:rFonts w:ascii="Arial" w:hAnsi="Arial" w:cs="Arial"/>
          <w:b/>
          <w:sz w:val="20"/>
          <w:szCs w:val="20"/>
        </w:rPr>
        <w:t>V</w:t>
      </w:r>
      <w:r w:rsidR="00DD31A8" w:rsidRPr="00235EDB">
        <w:rPr>
          <w:rFonts w:ascii="Arial" w:hAnsi="Arial" w:cs="Arial"/>
          <w:b/>
          <w:sz w:val="20"/>
          <w:szCs w:val="20"/>
        </w:rPr>
        <w:t xml:space="preserve"> </w:t>
      </w:r>
      <w:r w:rsidRPr="00235EDB">
        <w:rPr>
          <w:rFonts w:ascii="Arial" w:hAnsi="Arial" w:cs="Arial"/>
          <w:b/>
          <w:sz w:val="20"/>
          <w:szCs w:val="20"/>
        </w:rPr>
        <w:t>A</w:t>
      </w:r>
      <w:r w:rsidR="00DD31A8" w:rsidRPr="00235EDB">
        <w:rPr>
          <w:rFonts w:ascii="Arial" w:hAnsi="Arial" w:cs="Arial"/>
          <w:b/>
          <w:sz w:val="20"/>
          <w:szCs w:val="20"/>
        </w:rPr>
        <w:t xml:space="preserve"> </w:t>
      </w:r>
      <w:r w:rsidRPr="00235EDB">
        <w:rPr>
          <w:rFonts w:ascii="Arial" w:hAnsi="Arial" w:cs="Arial"/>
          <w:b/>
          <w:sz w:val="20"/>
          <w:szCs w:val="20"/>
        </w:rPr>
        <w:t>T</w:t>
      </w:r>
      <w:r w:rsidR="00DD31A8" w:rsidRPr="00235EDB">
        <w:rPr>
          <w:rFonts w:ascii="Arial" w:hAnsi="Arial" w:cs="Arial"/>
          <w:b/>
          <w:sz w:val="20"/>
          <w:szCs w:val="20"/>
        </w:rPr>
        <w:t xml:space="preserve"> </w:t>
      </w:r>
      <w:r w:rsidRPr="00235EDB">
        <w:rPr>
          <w:rFonts w:ascii="Arial" w:hAnsi="Arial" w:cs="Arial"/>
          <w:b/>
          <w:sz w:val="20"/>
          <w:szCs w:val="20"/>
        </w:rPr>
        <w:t>S</w:t>
      </w:r>
      <w:r w:rsidR="00DD31A8" w:rsidRPr="00235EDB">
        <w:rPr>
          <w:rFonts w:ascii="Arial" w:hAnsi="Arial" w:cs="Arial"/>
          <w:b/>
          <w:sz w:val="20"/>
          <w:szCs w:val="20"/>
        </w:rPr>
        <w:t xml:space="preserve"> </w:t>
      </w:r>
      <w:r w:rsidRPr="00235EDB">
        <w:rPr>
          <w:rFonts w:ascii="Arial" w:hAnsi="Arial" w:cs="Arial"/>
          <w:b/>
          <w:sz w:val="20"/>
          <w:szCs w:val="20"/>
        </w:rPr>
        <w:t>K</w:t>
      </w:r>
      <w:r w:rsidR="00DD31A8" w:rsidRPr="00235EDB">
        <w:rPr>
          <w:rFonts w:ascii="Arial" w:hAnsi="Arial" w:cs="Arial"/>
          <w:b/>
          <w:sz w:val="20"/>
          <w:szCs w:val="20"/>
        </w:rPr>
        <w:t xml:space="preserve"> </w:t>
      </w:r>
      <w:r w:rsidRPr="00235EDB">
        <w:rPr>
          <w:rFonts w:ascii="Arial" w:hAnsi="Arial" w:cs="Arial"/>
          <w:b/>
          <w:sz w:val="20"/>
          <w:szCs w:val="20"/>
        </w:rPr>
        <w:t>A</w:t>
      </w:r>
    </w:p>
    <w:p w:rsidR="00A21FEA" w:rsidRPr="00235EDB" w:rsidRDefault="00235EDB" w:rsidP="00235EDB">
      <w:pPr>
        <w:spacing w:after="0" w:line="240" w:lineRule="auto"/>
        <w:rPr>
          <w:rFonts w:ascii="Arial" w:hAnsi="Arial" w:cs="Arial"/>
          <w:b/>
          <w:sz w:val="20"/>
          <w:szCs w:val="20"/>
        </w:rPr>
      </w:pPr>
      <w:r w:rsidRPr="00235EDB">
        <w:rPr>
          <w:rFonts w:ascii="Arial" w:hAnsi="Arial" w:cs="Arial"/>
          <w:b/>
          <w:sz w:val="20"/>
          <w:szCs w:val="20"/>
        </w:rPr>
        <w:t>MEĐIMURSKA ŽUPANIJA</w:t>
      </w:r>
    </w:p>
    <w:p w:rsidR="00A21FEA" w:rsidRPr="00235EDB" w:rsidRDefault="00235EDB" w:rsidP="00235EDB">
      <w:pPr>
        <w:spacing w:after="0" w:line="240" w:lineRule="auto"/>
        <w:rPr>
          <w:rFonts w:ascii="Arial" w:hAnsi="Arial" w:cs="Arial"/>
          <w:b/>
          <w:sz w:val="20"/>
          <w:szCs w:val="20"/>
        </w:rPr>
      </w:pPr>
      <w:r w:rsidRPr="00235EDB">
        <w:rPr>
          <w:rFonts w:ascii="Arial" w:hAnsi="Arial" w:cs="Arial"/>
          <w:b/>
          <w:sz w:val="20"/>
          <w:szCs w:val="20"/>
        </w:rPr>
        <w:t>OPĆINA DONJI KRALJEVEC</w:t>
      </w:r>
    </w:p>
    <w:p w:rsidR="00A21FEA" w:rsidRPr="00235EDB" w:rsidRDefault="00235EDB" w:rsidP="00235EDB">
      <w:pPr>
        <w:spacing w:after="0" w:line="240" w:lineRule="auto"/>
        <w:rPr>
          <w:rFonts w:ascii="Arial" w:hAnsi="Arial" w:cs="Arial"/>
          <w:b/>
          <w:sz w:val="20"/>
          <w:szCs w:val="20"/>
        </w:rPr>
      </w:pPr>
      <w:r w:rsidRPr="00235EDB">
        <w:rPr>
          <w:rFonts w:ascii="Arial" w:hAnsi="Arial" w:cs="Arial"/>
          <w:b/>
          <w:sz w:val="20"/>
          <w:szCs w:val="20"/>
        </w:rPr>
        <w:t>OPĆINSKO</w:t>
      </w:r>
      <w:r w:rsidR="00A21FEA" w:rsidRPr="00235EDB">
        <w:rPr>
          <w:rFonts w:ascii="Arial" w:hAnsi="Arial" w:cs="Arial"/>
          <w:b/>
          <w:sz w:val="20"/>
          <w:szCs w:val="20"/>
        </w:rPr>
        <w:t xml:space="preserve"> VIJEĆE</w:t>
      </w:r>
    </w:p>
    <w:p w:rsidR="00A21FEA" w:rsidRPr="00235EDB" w:rsidRDefault="0021650C" w:rsidP="00235EDB">
      <w:pPr>
        <w:spacing w:after="0" w:line="240" w:lineRule="auto"/>
        <w:rPr>
          <w:rFonts w:ascii="Arial" w:hAnsi="Arial" w:cs="Arial"/>
          <w:sz w:val="20"/>
          <w:szCs w:val="20"/>
        </w:rPr>
      </w:pPr>
      <w:r>
        <w:rPr>
          <w:rFonts w:ascii="Arial" w:hAnsi="Arial" w:cs="Arial"/>
          <w:sz w:val="20"/>
          <w:szCs w:val="20"/>
        </w:rPr>
        <w:t>KLASA: 322</w:t>
      </w:r>
      <w:r w:rsidR="00235EDB" w:rsidRPr="00235EDB">
        <w:rPr>
          <w:rFonts w:ascii="Arial" w:hAnsi="Arial" w:cs="Arial"/>
          <w:sz w:val="20"/>
          <w:szCs w:val="20"/>
        </w:rPr>
        <w:t>-01/17-01/</w:t>
      </w:r>
      <w:r>
        <w:rPr>
          <w:rFonts w:ascii="Arial" w:hAnsi="Arial" w:cs="Arial"/>
          <w:sz w:val="20"/>
          <w:szCs w:val="20"/>
        </w:rPr>
        <w:t>4</w:t>
      </w:r>
    </w:p>
    <w:p w:rsidR="00A21FEA" w:rsidRPr="00235EDB" w:rsidRDefault="00235EDB" w:rsidP="00235EDB">
      <w:pPr>
        <w:spacing w:after="0" w:line="240" w:lineRule="auto"/>
        <w:rPr>
          <w:rFonts w:ascii="Arial" w:hAnsi="Arial" w:cs="Arial"/>
          <w:sz w:val="20"/>
          <w:szCs w:val="20"/>
        </w:rPr>
      </w:pPr>
      <w:r w:rsidRPr="00235EDB">
        <w:rPr>
          <w:rFonts w:ascii="Arial" w:hAnsi="Arial" w:cs="Arial"/>
          <w:sz w:val="20"/>
          <w:szCs w:val="20"/>
        </w:rPr>
        <w:t>URBROJ:2186-06-17-01</w:t>
      </w:r>
    </w:p>
    <w:p w:rsidR="00A21FEA" w:rsidRPr="00235EDB" w:rsidRDefault="0021650C" w:rsidP="00235EDB">
      <w:pPr>
        <w:spacing w:after="0" w:line="240" w:lineRule="auto"/>
        <w:rPr>
          <w:rFonts w:ascii="Arial" w:hAnsi="Arial" w:cs="Arial"/>
          <w:b/>
          <w:sz w:val="20"/>
          <w:szCs w:val="20"/>
          <w:u w:val="single"/>
        </w:rPr>
      </w:pPr>
      <w:r>
        <w:rPr>
          <w:rFonts w:ascii="Arial" w:hAnsi="Arial" w:cs="Arial"/>
          <w:sz w:val="20"/>
          <w:szCs w:val="20"/>
        </w:rPr>
        <w:t>Donji Kraljevec, 06.12.</w:t>
      </w:r>
      <w:r w:rsidR="00A21FEA" w:rsidRPr="00235EDB">
        <w:rPr>
          <w:rFonts w:ascii="Arial" w:hAnsi="Arial" w:cs="Arial"/>
          <w:sz w:val="20"/>
          <w:szCs w:val="20"/>
        </w:rPr>
        <w:t xml:space="preserve"> 2017.godine</w:t>
      </w:r>
      <w:r w:rsidR="00A21FEA" w:rsidRPr="00235EDB">
        <w:rPr>
          <w:rFonts w:ascii="Arial" w:hAnsi="Arial" w:cs="Arial"/>
          <w:sz w:val="20"/>
          <w:szCs w:val="20"/>
        </w:rPr>
        <w:tab/>
      </w:r>
      <w:r w:rsidR="00A21FEA" w:rsidRPr="00235EDB">
        <w:rPr>
          <w:rFonts w:ascii="Arial" w:hAnsi="Arial" w:cs="Arial"/>
          <w:sz w:val="20"/>
          <w:szCs w:val="20"/>
        </w:rPr>
        <w:tab/>
      </w:r>
      <w:r w:rsidR="00A21FEA" w:rsidRPr="00235EDB">
        <w:rPr>
          <w:rFonts w:ascii="Arial" w:hAnsi="Arial" w:cs="Arial"/>
          <w:sz w:val="20"/>
          <w:szCs w:val="20"/>
        </w:rPr>
        <w:tab/>
      </w:r>
      <w:r w:rsidR="00A21FEA" w:rsidRPr="00235EDB">
        <w:rPr>
          <w:rFonts w:ascii="Arial" w:hAnsi="Arial" w:cs="Arial"/>
          <w:sz w:val="20"/>
          <w:szCs w:val="20"/>
        </w:rPr>
        <w:tab/>
      </w:r>
      <w:r w:rsidR="00A21FEA" w:rsidRPr="00235EDB">
        <w:rPr>
          <w:rFonts w:ascii="Arial" w:hAnsi="Arial" w:cs="Arial"/>
          <w:sz w:val="20"/>
          <w:szCs w:val="20"/>
        </w:rPr>
        <w:tab/>
      </w:r>
    </w:p>
    <w:p w:rsidR="00A21FEA" w:rsidRPr="00235EDB" w:rsidRDefault="00A21FEA" w:rsidP="00235EDB">
      <w:pPr>
        <w:spacing w:after="0" w:line="240" w:lineRule="auto"/>
        <w:rPr>
          <w:rFonts w:ascii="Arial" w:hAnsi="Arial" w:cs="Arial"/>
          <w:sz w:val="20"/>
          <w:szCs w:val="20"/>
        </w:rPr>
      </w:pPr>
    </w:p>
    <w:p w:rsidR="00A21FEA" w:rsidRPr="00235EDB" w:rsidRDefault="00A21FEA" w:rsidP="00A21FEA">
      <w:pPr>
        <w:spacing w:after="0" w:line="240" w:lineRule="auto"/>
        <w:rPr>
          <w:rFonts w:ascii="Arial" w:hAnsi="Arial" w:cs="Arial"/>
          <w:sz w:val="20"/>
          <w:szCs w:val="20"/>
        </w:rPr>
      </w:pPr>
    </w:p>
    <w:p w:rsidR="00A21FEA" w:rsidRPr="00235EDB" w:rsidRDefault="00A21FEA" w:rsidP="00A21FEA">
      <w:pPr>
        <w:spacing w:after="0" w:line="240" w:lineRule="auto"/>
        <w:rPr>
          <w:rFonts w:ascii="Arial" w:hAnsi="Arial" w:cs="Arial"/>
          <w:b/>
          <w:sz w:val="20"/>
          <w:szCs w:val="20"/>
        </w:rPr>
      </w:pPr>
      <w:r w:rsidRPr="00235EDB">
        <w:rPr>
          <w:rFonts w:ascii="Arial" w:hAnsi="Arial" w:cs="Arial"/>
          <w:sz w:val="20"/>
          <w:szCs w:val="20"/>
        </w:rPr>
        <w:t>Na temelju članka  45. stavka  1. Zakona o lovstvu („Narodne novine“ broj 140/05, 75/09, 153/09, 14/14, 21/16, 41/16, 67/16), a u svezi s člankom 57. i člankom 58. Pravilnika o sadržaju,  načinu izrade i postupku donošenja, odnosno odobravanja lovnogospodarske osnove,  programa uzgoja divljači i programa zaštite divljači („Narodne novine“ broj 40/06, 41/13), članka 35. Zakona o lokalnoj i područnoj (regionalnoj) samoupravi  („Narodne novine“ broj 33/01, 60/01, 129/05, 109/07, 36/09, 125/08, 36/09, 150/11, 144/12, 19/13, 137/15</w:t>
      </w:r>
      <w:r w:rsidR="00F6679B">
        <w:rPr>
          <w:rFonts w:ascii="Arial" w:hAnsi="Arial" w:cs="Arial"/>
          <w:sz w:val="20"/>
          <w:szCs w:val="20"/>
        </w:rPr>
        <w:t xml:space="preserve"> – počišćeni tekst) te članka 32. Statuta Općine Donji Kraljevec („Službeni glasnik Međimurske  županije“ broj 6/13 i 10/13), Općinsko vijeće</w:t>
      </w:r>
      <w:r w:rsidR="0021650C">
        <w:rPr>
          <w:rFonts w:ascii="Arial" w:hAnsi="Arial" w:cs="Arial"/>
          <w:sz w:val="20"/>
          <w:szCs w:val="20"/>
        </w:rPr>
        <w:t xml:space="preserve"> Općine Donji Kraljevec na 4.</w:t>
      </w:r>
      <w:r w:rsidRPr="00235EDB">
        <w:rPr>
          <w:rFonts w:ascii="Arial" w:hAnsi="Arial" w:cs="Arial"/>
          <w:sz w:val="20"/>
          <w:szCs w:val="20"/>
        </w:rPr>
        <w:t xml:space="preserve"> s</w:t>
      </w:r>
      <w:r w:rsidR="0021650C">
        <w:rPr>
          <w:rFonts w:ascii="Arial" w:hAnsi="Arial" w:cs="Arial"/>
          <w:sz w:val="20"/>
          <w:szCs w:val="20"/>
        </w:rPr>
        <w:t>jednici održanoj dana 06.12.</w:t>
      </w:r>
      <w:r w:rsidRPr="00235EDB">
        <w:rPr>
          <w:rFonts w:ascii="Arial" w:hAnsi="Arial" w:cs="Arial"/>
          <w:sz w:val="20"/>
          <w:szCs w:val="20"/>
        </w:rPr>
        <w:t xml:space="preserve">2017. Godine </w:t>
      </w:r>
      <w:r w:rsidRPr="00235EDB">
        <w:rPr>
          <w:rFonts w:ascii="Arial" w:hAnsi="Arial" w:cs="Arial"/>
          <w:b/>
          <w:sz w:val="20"/>
          <w:szCs w:val="20"/>
        </w:rPr>
        <w:t>d o n o s i</w:t>
      </w:r>
    </w:p>
    <w:p w:rsidR="00A21FEA" w:rsidRPr="00235EDB" w:rsidRDefault="00A21FEA" w:rsidP="00A21FEA">
      <w:pPr>
        <w:spacing w:after="0" w:line="240" w:lineRule="auto"/>
        <w:rPr>
          <w:rFonts w:ascii="Arial" w:hAnsi="Arial" w:cs="Arial"/>
          <w:b/>
          <w:sz w:val="20"/>
          <w:szCs w:val="20"/>
        </w:rPr>
      </w:pPr>
    </w:p>
    <w:p w:rsidR="00A21FEA" w:rsidRPr="00235EDB" w:rsidRDefault="00A21FEA" w:rsidP="00A21FEA">
      <w:pPr>
        <w:spacing w:after="0" w:line="240" w:lineRule="auto"/>
        <w:rPr>
          <w:rFonts w:ascii="Arial" w:hAnsi="Arial" w:cs="Arial"/>
          <w:b/>
          <w:sz w:val="20"/>
          <w:szCs w:val="20"/>
        </w:rPr>
      </w:pPr>
    </w:p>
    <w:p w:rsidR="00A21FEA" w:rsidRPr="00235EDB" w:rsidRDefault="00A21FEA" w:rsidP="00A21FEA">
      <w:pPr>
        <w:spacing w:after="0" w:line="240" w:lineRule="auto"/>
        <w:jc w:val="center"/>
        <w:rPr>
          <w:rFonts w:ascii="Arial" w:hAnsi="Arial" w:cs="Arial"/>
          <w:b/>
          <w:sz w:val="20"/>
          <w:szCs w:val="20"/>
        </w:rPr>
      </w:pPr>
      <w:r w:rsidRPr="00235EDB">
        <w:rPr>
          <w:rFonts w:ascii="Arial" w:hAnsi="Arial" w:cs="Arial"/>
          <w:b/>
          <w:sz w:val="20"/>
          <w:szCs w:val="20"/>
        </w:rPr>
        <w:t>O D L U K U</w:t>
      </w:r>
    </w:p>
    <w:p w:rsidR="00A21FEA" w:rsidRPr="00235EDB" w:rsidRDefault="00A21FEA" w:rsidP="00A21FEA">
      <w:pPr>
        <w:spacing w:after="0" w:line="240" w:lineRule="auto"/>
        <w:jc w:val="center"/>
        <w:rPr>
          <w:rFonts w:ascii="Arial" w:hAnsi="Arial" w:cs="Arial"/>
          <w:b/>
          <w:sz w:val="20"/>
          <w:szCs w:val="20"/>
        </w:rPr>
      </w:pPr>
      <w:r w:rsidRPr="00235EDB">
        <w:rPr>
          <w:rFonts w:ascii="Arial" w:hAnsi="Arial" w:cs="Arial"/>
          <w:b/>
          <w:sz w:val="20"/>
          <w:szCs w:val="20"/>
        </w:rPr>
        <w:t>o proglašenju površine izvan lo</w:t>
      </w:r>
      <w:r w:rsidR="00F6679B">
        <w:rPr>
          <w:rFonts w:ascii="Arial" w:hAnsi="Arial" w:cs="Arial"/>
          <w:b/>
          <w:sz w:val="20"/>
          <w:szCs w:val="20"/>
        </w:rPr>
        <w:t>višta na području Općine Donji Kraljevec</w:t>
      </w:r>
    </w:p>
    <w:p w:rsidR="00A21FEA" w:rsidRPr="00235EDB" w:rsidRDefault="00A21FEA" w:rsidP="00A21FEA">
      <w:pPr>
        <w:spacing w:after="0" w:line="240" w:lineRule="auto"/>
        <w:jc w:val="center"/>
        <w:rPr>
          <w:rFonts w:ascii="Arial" w:hAnsi="Arial" w:cs="Arial"/>
          <w:b/>
          <w:sz w:val="20"/>
          <w:szCs w:val="20"/>
        </w:rPr>
      </w:pPr>
    </w:p>
    <w:p w:rsidR="00A21FEA" w:rsidRPr="00235EDB" w:rsidRDefault="00A21FEA" w:rsidP="00A21FEA">
      <w:pPr>
        <w:spacing w:after="0" w:line="240" w:lineRule="auto"/>
        <w:jc w:val="center"/>
        <w:rPr>
          <w:rFonts w:ascii="Arial" w:hAnsi="Arial" w:cs="Arial"/>
          <w:sz w:val="20"/>
          <w:szCs w:val="20"/>
        </w:rPr>
      </w:pPr>
      <w:r w:rsidRPr="00235EDB">
        <w:rPr>
          <w:rFonts w:ascii="Arial" w:hAnsi="Arial" w:cs="Arial"/>
          <w:sz w:val="20"/>
          <w:szCs w:val="20"/>
        </w:rPr>
        <w:t>Članak 1.</w:t>
      </w:r>
    </w:p>
    <w:p w:rsidR="00A21FEA" w:rsidRPr="00235EDB" w:rsidRDefault="00A21FEA" w:rsidP="00A21FEA">
      <w:pPr>
        <w:spacing w:after="0" w:line="240" w:lineRule="auto"/>
        <w:jc w:val="center"/>
        <w:rPr>
          <w:rFonts w:ascii="Arial" w:hAnsi="Arial" w:cs="Arial"/>
          <w:sz w:val="20"/>
          <w:szCs w:val="20"/>
        </w:rPr>
      </w:pPr>
    </w:p>
    <w:p w:rsidR="00A21FEA" w:rsidRPr="00235EDB" w:rsidRDefault="00A21FEA" w:rsidP="00A21FEA">
      <w:pPr>
        <w:spacing w:after="0" w:line="240" w:lineRule="auto"/>
        <w:ind w:firstLine="708"/>
        <w:rPr>
          <w:rFonts w:ascii="Arial" w:hAnsi="Arial" w:cs="Arial"/>
          <w:sz w:val="20"/>
          <w:szCs w:val="20"/>
        </w:rPr>
      </w:pPr>
      <w:r w:rsidRPr="00235EDB">
        <w:rPr>
          <w:rFonts w:ascii="Arial" w:hAnsi="Arial" w:cs="Arial"/>
          <w:sz w:val="20"/>
          <w:szCs w:val="20"/>
        </w:rPr>
        <w:t>Ovom Odlukom određuje se površina izvan lo</w:t>
      </w:r>
      <w:r w:rsidR="00F6679B">
        <w:rPr>
          <w:rFonts w:ascii="Arial" w:hAnsi="Arial" w:cs="Arial"/>
          <w:sz w:val="20"/>
          <w:szCs w:val="20"/>
        </w:rPr>
        <w:t>višta na području Općine Donji Kraljevec</w:t>
      </w:r>
      <w:r w:rsidRPr="00235EDB">
        <w:rPr>
          <w:rFonts w:ascii="Arial" w:hAnsi="Arial" w:cs="Arial"/>
          <w:sz w:val="20"/>
          <w:szCs w:val="20"/>
        </w:rPr>
        <w:t xml:space="preserve"> ( u daljnjem tekstu: Površina).</w:t>
      </w:r>
    </w:p>
    <w:p w:rsidR="00A21FEA" w:rsidRPr="00235EDB" w:rsidRDefault="00A21FEA" w:rsidP="00A21FEA">
      <w:pPr>
        <w:spacing w:after="0" w:line="240" w:lineRule="auto"/>
        <w:ind w:firstLine="708"/>
        <w:rPr>
          <w:rFonts w:ascii="Arial" w:hAnsi="Arial" w:cs="Arial"/>
          <w:sz w:val="20"/>
          <w:szCs w:val="20"/>
        </w:rPr>
      </w:pPr>
    </w:p>
    <w:p w:rsidR="00A21FEA" w:rsidRPr="00235EDB" w:rsidRDefault="00A21FEA" w:rsidP="00DD31A8">
      <w:pPr>
        <w:spacing w:after="0" w:line="240" w:lineRule="auto"/>
        <w:ind w:firstLine="708"/>
        <w:jc w:val="center"/>
        <w:rPr>
          <w:rFonts w:ascii="Arial" w:hAnsi="Arial" w:cs="Arial"/>
          <w:sz w:val="20"/>
          <w:szCs w:val="20"/>
        </w:rPr>
      </w:pPr>
      <w:r w:rsidRPr="00235EDB">
        <w:rPr>
          <w:rFonts w:ascii="Arial" w:hAnsi="Arial" w:cs="Arial"/>
          <w:sz w:val="20"/>
          <w:szCs w:val="20"/>
        </w:rPr>
        <w:t>Članak 2.</w:t>
      </w:r>
    </w:p>
    <w:p w:rsidR="00DD31A8" w:rsidRPr="00235EDB" w:rsidRDefault="00DD31A8" w:rsidP="00A21FEA">
      <w:pPr>
        <w:spacing w:after="0" w:line="240" w:lineRule="auto"/>
        <w:ind w:firstLine="708"/>
        <w:rPr>
          <w:rFonts w:ascii="Arial" w:hAnsi="Arial" w:cs="Arial"/>
          <w:sz w:val="20"/>
          <w:szCs w:val="20"/>
        </w:rPr>
      </w:pPr>
    </w:p>
    <w:p w:rsidR="00A21FEA" w:rsidRPr="00235EDB" w:rsidRDefault="00A21FEA" w:rsidP="00A21FEA">
      <w:pPr>
        <w:spacing w:after="0" w:line="240" w:lineRule="auto"/>
        <w:ind w:firstLine="708"/>
        <w:rPr>
          <w:rFonts w:ascii="Arial" w:hAnsi="Arial" w:cs="Arial"/>
          <w:sz w:val="20"/>
          <w:szCs w:val="20"/>
        </w:rPr>
      </w:pPr>
      <w:r w:rsidRPr="00235EDB">
        <w:rPr>
          <w:rFonts w:ascii="Arial" w:hAnsi="Arial" w:cs="Arial"/>
          <w:sz w:val="20"/>
          <w:szCs w:val="20"/>
        </w:rPr>
        <w:t xml:space="preserve">Granica Površine određuje se od granica građevinskih područja naselja na udaljenosti 300 m izvan granice građevinskih područja naselja, osim u dijelovima gdje su manje udaljenosti građevinskih područja naselja sa granicama susjednih jedinica lokalne samouprave. </w:t>
      </w:r>
    </w:p>
    <w:p w:rsidR="00A21FEA" w:rsidRPr="00235EDB" w:rsidRDefault="00A21FEA" w:rsidP="00A21FEA">
      <w:pPr>
        <w:spacing w:after="0" w:line="240" w:lineRule="auto"/>
        <w:ind w:firstLine="708"/>
        <w:rPr>
          <w:rFonts w:ascii="Arial" w:hAnsi="Arial" w:cs="Arial"/>
          <w:sz w:val="20"/>
          <w:szCs w:val="20"/>
        </w:rPr>
      </w:pPr>
    </w:p>
    <w:p w:rsidR="00A21FEA" w:rsidRPr="00235EDB" w:rsidRDefault="00A21FEA" w:rsidP="00DD31A8">
      <w:pPr>
        <w:spacing w:after="0" w:line="240" w:lineRule="auto"/>
        <w:ind w:firstLine="708"/>
        <w:jc w:val="center"/>
        <w:rPr>
          <w:rFonts w:ascii="Arial" w:hAnsi="Arial" w:cs="Arial"/>
          <w:sz w:val="20"/>
          <w:szCs w:val="20"/>
        </w:rPr>
      </w:pPr>
      <w:r w:rsidRPr="00235EDB">
        <w:rPr>
          <w:rFonts w:ascii="Arial" w:hAnsi="Arial" w:cs="Arial"/>
          <w:sz w:val="20"/>
          <w:szCs w:val="20"/>
        </w:rPr>
        <w:t>Članak 3.</w:t>
      </w:r>
    </w:p>
    <w:p w:rsidR="00A21FEA" w:rsidRPr="00235EDB" w:rsidRDefault="00A21FEA" w:rsidP="00A21FEA">
      <w:pPr>
        <w:spacing w:after="0" w:line="240" w:lineRule="auto"/>
        <w:ind w:firstLine="708"/>
        <w:rPr>
          <w:rFonts w:ascii="Arial" w:hAnsi="Arial" w:cs="Arial"/>
          <w:sz w:val="20"/>
          <w:szCs w:val="20"/>
        </w:rPr>
      </w:pPr>
    </w:p>
    <w:p w:rsidR="00A21FEA" w:rsidRPr="00235EDB" w:rsidRDefault="00A21FEA" w:rsidP="00A21FEA">
      <w:pPr>
        <w:spacing w:after="0" w:line="240" w:lineRule="auto"/>
        <w:ind w:firstLine="708"/>
        <w:rPr>
          <w:rFonts w:ascii="Arial" w:hAnsi="Arial" w:cs="Arial"/>
          <w:sz w:val="20"/>
          <w:szCs w:val="20"/>
        </w:rPr>
      </w:pPr>
      <w:r w:rsidRPr="00235EDB">
        <w:rPr>
          <w:rFonts w:ascii="Arial" w:hAnsi="Arial" w:cs="Arial"/>
          <w:sz w:val="20"/>
          <w:szCs w:val="20"/>
        </w:rPr>
        <w:t xml:space="preserve">Ukupan </w:t>
      </w:r>
      <w:r w:rsidR="00F6679B">
        <w:rPr>
          <w:rFonts w:ascii="Arial" w:hAnsi="Arial" w:cs="Arial"/>
          <w:sz w:val="20"/>
          <w:szCs w:val="20"/>
        </w:rPr>
        <w:t xml:space="preserve">obuhvat </w:t>
      </w:r>
      <w:r w:rsidR="0021650C">
        <w:rPr>
          <w:rFonts w:ascii="Arial" w:hAnsi="Arial" w:cs="Arial"/>
          <w:sz w:val="20"/>
          <w:szCs w:val="20"/>
        </w:rPr>
        <w:t>Površine iznosi 3.634 ha od toga 1.314</w:t>
      </w:r>
      <w:r w:rsidRPr="00235EDB">
        <w:rPr>
          <w:rFonts w:ascii="Arial" w:hAnsi="Arial" w:cs="Arial"/>
          <w:sz w:val="20"/>
          <w:szCs w:val="20"/>
        </w:rPr>
        <w:t xml:space="preserve"> ha obuhvaća građevi</w:t>
      </w:r>
      <w:r w:rsidR="0021650C">
        <w:rPr>
          <w:rFonts w:ascii="Arial" w:hAnsi="Arial" w:cs="Arial"/>
          <w:sz w:val="20"/>
          <w:szCs w:val="20"/>
        </w:rPr>
        <w:t>nska područja naselja i 3.067</w:t>
      </w:r>
      <w:r w:rsidRPr="00235EDB">
        <w:rPr>
          <w:rFonts w:ascii="Arial" w:hAnsi="Arial" w:cs="Arial"/>
          <w:sz w:val="20"/>
          <w:szCs w:val="20"/>
        </w:rPr>
        <w:t xml:space="preserve"> ha obuhvaća pojas </w:t>
      </w:r>
      <w:r w:rsidR="00DD31A8" w:rsidRPr="00235EDB">
        <w:rPr>
          <w:rFonts w:ascii="Arial" w:hAnsi="Arial" w:cs="Arial"/>
          <w:sz w:val="20"/>
          <w:szCs w:val="20"/>
        </w:rPr>
        <w:t xml:space="preserve">300 m izvan granica građevinskih područja naselja. Obuhvat Površine s ucrtanom granicom prikazan je u kartografskom prikazu iz članka 4. ove Odluke. </w:t>
      </w:r>
    </w:p>
    <w:p w:rsidR="00DD31A8" w:rsidRPr="00235EDB" w:rsidRDefault="00DD31A8" w:rsidP="00A21FEA">
      <w:pPr>
        <w:spacing w:after="0" w:line="240" w:lineRule="auto"/>
        <w:ind w:firstLine="708"/>
        <w:rPr>
          <w:rFonts w:ascii="Arial" w:hAnsi="Arial" w:cs="Arial"/>
          <w:sz w:val="20"/>
          <w:szCs w:val="20"/>
        </w:rPr>
      </w:pPr>
    </w:p>
    <w:p w:rsidR="00DD31A8" w:rsidRPr="00235EDB" w:rsidRDefault="00DD31A8" w:rsidP="00DD31A8">
      <w:pPr>
        <w:spacing w:after="0" w:line="240" w:lineRule="auto"/>
        <w:ind w:firstLine="708"/>
        <w:jc w:val="center"/>
        <w:rPr>
          <w:rFonts w:ascii="Arial" w:hAnsi="Arial" w:cs="Arial"/>
          <w:sz w:val="20"/>
          <w:szCs w:val="20"/>
        </w:rPr>
      </w:pPr>
      <w:r w:rsidRPr="00235EDB">
        <w:rPr>
          <w:rFonts w:ascii="Arial" w:hAnsi="Arial" w:cs="Arial"/>
          <w:sz w:val="20"/>
          <w:szCs w:val="20"/>
        </w:rPr>
        <w:t>Članak 4.</w:t>
      </w:r>
    </w:p>
    <w:p w:rsidR="00DD31A8" w:rsidRPr="00235EDB" w:rsidRDefault="00DD31A8" w:rsidP="00A21FEA">
      <w:pPr>
        <w:spacing w:after="0" w:line="240" w:lineRule="auto"/>
        <w:ind w:firstLine="708"/>
        <w:rPr>
          <w:rFonts w:ascii="Arial" w:hAnsi="Arial" w:cs="Arial"/>
          <w:sz w:val="20"/>
          <w:szCs w:val="20"/>
        </w:rPr>
      </w:pPr>
    </w:p>
    <w:p w:rsidR="00DD31A8" w:rsidRPr="00235EDB" w:rsidRDefault="00DD31A8" w:rsidP="00A21FEA">
      <w:pPr>
        <w:spacing w:after="0" w:line="240" w:lineRule="auto"/>
        <w:ind w:firstLine="708"/>
        <w:rPr>
          <w:rFonts w:ascii="Arial" w:hAnsi="Arial" w:cs="Arial"/>
          <w:sz w:val="20"/>
          <w:szCs w:val="20"/>
        </w:rPr>
      </w:pPr>
      <w:r w:rsidRPr="00235EDB">
        <w:rPr>
          <w:rFonts w:ascii="Arial" w:hAnsi="Arial" w:cs="Arial"/>
          <w:sz w:val="20"/>
          <w:szCs w:val="20"/>
        </w:rPr>
        <w:t xml:space="preserve">Kartografski prikaz Površine s ucrtanom granicom izrađen je u mjerilu 1:25.000 i sastavni je dio ove Odluke (Prilog 1), ali nije predmet objave. </w:t>
      </w:r>
    </w:p>
    <w:p w:rsidR="00DD31A8" w:rsidRPr="00235EDB" w:rsidRDefault="00DD31A8" w:rsidP="00A21FEA">
      <w:pPr>
        <w:spacing w:after="0" w:line="240" w:lineRule="auto"/>
        <w:ind w:firstLine="708"/>
        <w:rPr>
          <w:rFonts w:ascii="Arial" w:hAnsi="Arial" w:cs="Arial"/>
          <w:sz w:val="20"/>
          <w:szCs w:val="20"/>
        </w:rPr>
      </w:pPr>
    </w:p>
    <w:p w:rsidR="00DD31A8" w:rsidRPr="00235EDB" w:rsidRDefault="00DD31A8" w:rsidP="00DD31A8">
      <w:pPr>
        <w:spacing w:after="0" w:line="240" w:lineRule="auto"/>
        <w:ind w:firstLine="708"/>
        <w:jc w:val="center"/>
        <w:rPr>
          <w:rFonts w:ascii="Arial" w:hAnsi="Arial" w:cs="Arial"/>
          <w:sz w:val="20"/>
          <w:szCs w:val="20"/>
        </w:rPr>
      </w:pPr>
      <w:r w:rsidRPr="00235EDB">
        <w:rPr>
          <w:rFonts w:ascii="Arial" w:hAnsi="Arial" w:cs="Arial"/>
          <w:sz w:val="20"/>
          <w:szCs w:val="20"/>
        </w:rPr>
        <w:t>Članak 5.</w:t>
      </w:r>
    </w:p>
    <w:p w:rsidR="00DD31A8" w:rsidRPr="00235EDB" w:rsidRDefault="00DD31A8" w:rsidP="00DD31A8">
      <w:pPr>
        <w:spacing w:after="0" w:line="240" w:lineRule="auto"/>
        <w:ind w:firstLine="708"/>
        <w:jc w:val="center"/>
        <w:rPr>
          <w:rFonts w:ascii="Arial" w:hAnsi="Arial" w:cs="Arial"/>
          <w:sz w:val="20"/>
          <w:szCs w:val="20"/>
        </w:rPr>
      </w:pPr>
    </w:p>
    <w:p w:rsidR="00DD31A8" w:rsidRPr="00235EDB" w:rsidRDefault="00F6679B" w:rsidP="00DD31A8">
      <w:pPr>
        <w:spacing w:after="0" w:line="240" w:lineRule="auto"/>
        <w:ind w:firstLine="708"/>
        <w:rPr>
          <w:rFonts w:ascii="Arial" w:hAnsi="Arial" w:cs="Arial"/>
          <w:sz w:val="20"/>
          <w:szCs w:val="20"/>
        </w:rPr>
      </w:pPr>
      <w:r>
        <w:rPr>
          <w:rFonts w:ascii="Arial" w:hAnsi="Arial" w:cs="Arial"/>
          <w:sz w:val="20"/>
          <w:szCs w:val="20"/>
        </w:rPr>
        <w:t>Ova odluka stupa na snagu 8</w:t>
      </w:r>
      <w:r w:rsidR="00DD31A8" w:rsidRPr="00235EDB">
        <w:rPr>
          <w:rFonts w:ascii="Arial" w:hAnsi="Arial" w:cs="Arial"/>
          <w:sz w:val="20"/>
          <w:szCs w:val="20"/>
        </w:rPr>
        <w:t xml:space="preserve"> dana od dana objave u „Službenom </w:t>
      </w:r>
      <w:r>
        <w:rPr>
          <w:rFonts w:ascii="Arial" w:hAnsi="Arial" w:cs="Arial"/>
          <w:sz w:val="20"/>
          <w:szCs w:val="20"/>
        </w:rPr>
        <w:t>glasniku Međimurske</w:t>
      </w:r>
      <w:r w:rsidR="00DD31A8" w:rsidRPr="00235EDB">
        <w:rPr>
          <w:rFonts w:ascii="Arial" w:hAnsi="Arial" w:cs="Arial"/>
          <w:sz w:val="20"/>
          <w:szCs w:val="20"/>
        </w:rPr>
        <w:t xml:space="preserve"> županije“. </w:t>
      </w:r>
    </w:p>
    <w:p w:rsidR="00DD31A8" w:rsidRPr="00235EDB" w:rsidRDefault="00DD31A8" w:rsidP="00A21FEA">
      <w:pPr>
        <w:spacing w:after="0" w:line="240" w:lineRule="auto"/>
        <w:ind w:firstLine="708"/>
        <w:rPr>
          <w:rFonts w:ascii="Arial" w:hAnsi="Arial" w:cs="Arial"/>
          <w:sz w:val="20"/>
          <w:szCs w:val="20"/>
        </w:rPr>
      </w:pPr>
    </w:p>
    <w:p w:rsidR="00DD31A8" w:rsidRPr="00235EDB" w:rsidRDefault="00F6679B" w:rsidP="00DD31A8">
      <w:pPr>
        <w:spacing w:after="0" w:line="240" w:lineRule="auto"/>
        <w:jc w:val="right"/>
        <w:rPr>
          <w:rFonts w:ascii="Arial" w:hAnsi="Arial" w:cs="Arial"/>
          <w:sz w:val="20"/>
          <w:szCs w:val="20"/>
        </w:rPr>
      </w:pPr>
      <w:r>
        <w:rPr>
          <w:rFonts w:ascii="Arial" w:hAnsi="Arial" w:cs="Arial"/>
          <w:sz w:val="20"/>
          <w:szCs w:val="20"/>
        </w:rPr>
        <w:t>Predsjednik općinskog</w:t>
      </w:r>
      <w:r w:rsidR="00DD31A8" w:rsidRPr="00235EDB">
        <w:rPr>
          <w:rFonts w:ascii="Arial" w:hAnsi="Arial" w:cs="Arial"/>
          <w:sz w:val="20"/>
          <w:szCs w:val="20"/>
        </w:rPr>
        <w:t xml:space="preserve"> vijeća</w:t>
      </w:r>
    </w:p>
    <w:p w:rsidR="00F6679B" w:rsidRDefault="00F6679B" w:rsidP="00F6679B">
      <w:pPr>
        <w:spacing w:after="0" w:line="240" w:lineRule="auto"/>
        <w:ind w:firstLine="708"/>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D31A8" w:rsidRDefault="00F6679B" w:rsidP="00DD31A8">
      <w:pPr>
        <w:spacing w:after="0" w:line="240" w:lineRule="auto"/>
        <w:ind w:firstLine="708"/>
        <w:jc w:val="right"/>
        <w:rPr>
          <w:rFonts w:ascii="Arial" w:hAnsi="Arial" w:cs="Arial"/>
          <w:sz w:val="20"/>
          <w:szCs w:val="20"/>
        </w:rPr>
      </w:pPr>
      <w:r>
        <w:rPr>
          <w:rFonts w:ascii="Arial" w:hAnsi="Arial" w:cs="Arial"/>
          <w:sz w:val="20"/>
          <w:szCs w:val="20"/>
        </w:rPr>
        <w:t>Zoran Strahija</w:t>
      </w: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Default="00F6679B" w:rsidP="00DD31A8">
      <w:pPr>
        <w:spacing w:after="0" w:line="240" w:lineRule="auto"/>
        <w:ind w:firstLine="708"/>
        <w:jc w:val="right"/>
        <w:rPr>
          <w:rFonts w:ascii="Arial" w:hAnsi="Arial" w:cs="Arial"/>
          <w:sz w:val="20"/>
          <w:szCs w:val="20"/>
        </w:rPr>
      </w:pPr>
    </w:p>
    <w:p w:rsidR="00F6679B" w:rsidRPr="00235EDB" w:rsidRDefault="00F6679B" w:rsidP="00DD31A8">
      <w:pPr>
        <w:spacing w:after="0" w:line="240" w:lineRule="auto"/>
        <w:ind w:firstLine="708"/>
        <w:jc w:val="right"/>
        <w:rPr>
          <w:rFonts w:ascii="Arial" w:hAnsi="Arial" w:cs="Arial"/>
          <w:sz w:val="20"/>
          <w:szCs w:val="20"/>
        </w:rPr>
      </w:pPr>
    </w:p>
    <w:p w:rsidR="00DD31A8" w:rsidRPr="00235EDB" w:rsidRDefault="00DD31A8" w:rsidP="00DD31A8">
      <w:pPr>
        <w:spacing w:after="0" w:line="240" w:lineRule="auto"/>
        <w:ind w:firstLine="708"/>
        <w:jc w:val="center"/>
        <w:rPr>
          <w:rFonts w:ascii="Arial" w:hAnsi="Arial" w:cs="Arial"/>
          <w:b/>
          <w:sz w:val="20"/>
          <w:szCs w:val="20"/>
        </w:rPr>
      </w:pPr>
      <w:r w:rsidRPr="00235EDB">
        <w:rPr>
          <w:rFonts w:ascii="Arial" w:hAnsi="Arial" w:cs="Arial"/>
          <w:b/>
          <w:sz w:val="20"/>
          <w:szCs w:val="20"/>
        </w:rPr>
        <w:t>OBRAZLOŽENJE</w:t>
      </w:r>
    </w:p>
    <w:p w:rsidR="00DD31A8" w:rsidRPr="00235EDB" w:rsidRDefault="00DD31A8" w:rsidP="00DD31A8">
      <w:pPr>
        <w:spacing w:after="0" w:line="240" w:lineRule="auto"/>
        <w:ind w:firstLine="708"/>
        <w:jc w:val="center"/>
        <w:rPr>
          <w:rFonts w:ascii="Arial" w:hAnsi="Arial" w:cs="Arial"/>
          <w:b/>
          <w:sz w:val="20"/>
          <w:szCs w:val="20"/>
        </w:rPr>
      </w:pPr>
      <w:r w:rsidRPr="00235EDB">
        <w:rPr>
          <w:rFonts w:ascii="Arial" w:hAnsi="Arial" w:cs="Arial"/>
          <w:b/>
          <w:sz w:val="20"/>
          <w:szCs w:val="20"/>
        </w:rPr>
        <w:t>Odluke o proglašenju površine izvan lo</w:t>
      </w:r>
      <w:r w:rsidR="00F6679B">
        <w:rPr>
          <w:rFonts w:ascii="Arial" w:hAnsi="Arial" w:cs="Arial"/>
          <w:b/>
          <w:sz w:val="20"/>
          <w:szCs w:val="20"/>
        </w:rPr>
        <w:t>višta na području Općine Donji Kraljevec</w:t>
      </w:r>
    </w:p>
    <w:p w:rsidR="00DD31A8" w:rsidRPr="00235EDB" w:rsidRDefault="00DD31A8" w:rsidP="00DD31A8">
      <w:pPr>
        <w:spacing w:after="0" w:line="240" w:lineRule="auto"/>
        <w:ind w:firstLine="708"/>
        <w:rPr>
          <w:rFonts w:ascii="Arial" w:hAnsi="Arial" w:cs="Arial"/>
          <w:sz w:val="20"/>
          <w:szCs w:val="20"/>
        </w:rPr>
      </w:pPr>
    </w:p>
    <w:p w:rsidR="00DD31A8" w:rsidRPr="00235EDB" w:rsidRDefault="00DD31A8" w:rsidP="00DD31A8">
      <w:pPr>
        <w:spacing w:after="0" w:line="240" w:lineRule="auto"/>
        <w:rPr>
          <w:rFonts w:ascii="Arial" w:hAnsi="Arial" w:cs="Arial"/>
          <w:sz w:val="20"/>
          <w:szCs w:val="20"/>
        </w:rPr>
      </w:pPr>
      <w:r w:rsidRPr="00235EDB">
        <w:rPr>
          <w:rFonts w:ascii="Arial" w:hAnsi="Arial" w:cs="Arial"/>
          <w:sz w:val="20"/>
          <w:szCs w:val="20"/>
        </w:rPr>
        <w:t xml:space="preserve">Prema članku 19. Zakona o lovstvu (NN 140/05, 75/09, 153/09, 14/14, 21/16, 41/16, 67/16), na površinama zemljišta na kojima se ne ustanovljavaju lovišta divljač je dužan zaštiti vlasnik zemljišta, odnosno fizička ili pravna osoba koja koristi to zemljište. Prema članku 45. Zakona, na površinama izvan lovišta divljač se zaštićuje u skladu s Programom zaštite divljači koji donosi pravna ili fizička osoba koja koristi zemljište ili njime upravlja uz suglasnost Ministarstva poljoprivrede. </w:t>
      </w:r>
    </w:p>
    <w:p w:rsidR="00DD31A8" w:rsidRPr="00235EDB" w:rsidRDefault="00DD31A8" w:rsidP="00DD31A8">
      <w:pPr>
        <w:spacing w:after="0" w:line="240" w:lineRule="auto"/>
        <w:rPr>
          <w:rFonts w:ascii="Arial" w:hAnsi="Arial" w:cs="Arial"/>
          <w:sz w:val="20"/>
          <w:szCs w:val="20"/>
        </w:rPr>
      </w:pPr>
    </w:p>
    <w:p w:rsidR="00DD31A8" w:rsidRPr="00235EDB" w:rsidRDefault="00DD31A8" w:rsidP="00DD31A8">
      <w:pPr>
        <w:spacing w:after="0" w:line="240" w:lineRule="auto"/>
        <w:rPr>
          <w:rFonts w:ascii="Arial" w:hAnsi="Arial" w:cs="Arial"/>
          <w:sz w:val="20"/>
          <w:szCs w:val="20"/>
        </w:rPr>
      </w:pPr>
      <w:r w:rsidRPr="00235EDB">
        <w:rPr>
          <w:rFonts w:ascii="Arial" w:hAnsi="Arial" w:cs="Arial"/>
          <w:sz w:val="20"/>
          <w:szCs w:val="20"/>
        </w:rPr>
        <w:t>Temeljem članka 58. Pravilnika o sadržaju, načinu izrade i postupku donošenja, odnosno odobravanja lovnogospodarske osnove, programa uzgoja divljači i programa zaštite divljači („Narodne novine“ broj 40/06, 41/13), Program zaštite divljači sadrži:</w:t>
      </w:r>
    </w:p>
    <w:p w:rsidR="00DD31A8" w:rsidRPr="00235EDB" w:rsidRDefault="00E201CB"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Akt o proglašenju ili ustanovljenju površine izvan lovišta</w:t>
      </w:r>
    </w:p>
    <w:p w:rsidR="00081099" w:rsidRPr="00235EDB" w:rsidRDefault="00081099"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Osnovne podatke o položaju i granicama površine izvan lovišta te njenom površini razrađenoj po kulturama zemljišta sa zemljovlasničkim razmjerom</w:t>
      </w:r>
    </w:p>
    <w:p w:rsidR="00081099" w:rsidRPr="00235EDB" w:rsidRDefault="00081099"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Procjenu brojnog stanja divljači koja stalno, sezonski ili povremeno obitava na površinama izvan lovišta ili preko istih prelazi</w:t>
      </w:r>
    </w:p>
    <w:p w:rsidR="00081099" w:rsidRPr="00235EDB" w:rsidRDefault="00081099"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Uvjete zaštite prirode</w:t>
      </w:r>
    </w:p>
    <w:p w:rsidR="00081099" w:rsidRPr="00235EDB" w:rsidRDefault="00081099"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Mjere zaštite divljači</w:t>
      </w:r>
    </w:p>
    <w:p w:rsidR="00081099" w:rsidRPr="00235EDB" w:rsidRDefault="00081099"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Mjere za sprječavanje šteta od divljači</w:t>
      </w:r>
    </w:p>
    <w:p w:rsidR="00081099" w:rsidRPr="00235EDB" w:rsidRDefault="00081099"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Brigu o drugim životinjskim vrstama</w:t>
      </w:r>
    </w:p>
    <w:p w:rsidR="00081099" w:rsidRPr="00235EDB" w:rsidRDefault="00081099"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Prikaz potrebnih financijskih sredstava za provedbu programa zaštite</w:t>
      </w:r>
    </w:p>
    <w:p w:rsidR="00081099" w:rsidRPr="00235EDB" w:rsidRDefault="00081099" w:rsidP="00DD31A8">
      <w:pPr>
        <w:pStyle w:val="Odlomakpopisa"/>
        <w:numPr>
          <w:ilvl w:val="0"/>
          <w:numId w:val="1"/>
        </w:numPr>
        <w:spacing w:after="0" w:line="240" w:lineRule="auto"/>
        <w:rPr>
          <w:rFonts w:ascii="Arial" w:hAnsi="Arial" w:cs="Arial"/>
          <w:sz w:val="20"/>
          <w:szCs w:val="20"/>
        </w:rPr>
      </w:pPr>
      <w:r w:rsidRPr="00235EDB">
        <w:rPr>
          <w:rFonts w:ascii="Arial" w:hAnsi="Arial" w:cs="Arial"/>
          <w:sz w:val="20"/>
          <w:szCs w:val="20"/>
        </w:rPr>
        <w:t>Kroniku zaštite divljači.</w:t>
      </w:r>
    </w:p>
    <w:p w:rsidR="00081099" w:rsidRPr="00235EDB" w:rsidRDefault="00081099" w:rsidP="00081099">
      <w:pPr>
        <w:spacing w:after="0" w:line="240" w:lineRule="auto"/>
        <w:rPr>
          <w:rFonts w:ascii="Arial" w:hAnsi="Arial" w:cs="Arial"/>
          <w:sz w:val="20"/>
          <w:szCs w:val="20"/>
        </w:rPr>
      </w:pPr>
    </w:p>
    <w:p w:rsidR="00081099" w:rsidRPr="00235EDB" w:rsidRDefault="00081099" w:rsidP="00081099">
      <w:pPr>
        <w:spacing w:after="0" w:line="240" w:lineRule="auto"/>
        <w:rPr>
          <w:rFonts w:ascii="Arial" w:hAnsi="Arial" w:cs="Arial"/>
          <w:sz w:val="20"/>
          <w:szCs w:val="20"/>
        </w:rPr>
      </w:pPr>
      <w:r w:rsidRPr="00235EDB">
        <w:rPr>
          <w:rFonts w:ascii="Arial" w:hAnsi="Arial" w:cs="Arial"/>
          <w:sz w:val="20"/>
          <w:szCs w:val="20"/>
        </w:rPr>
        <w:t>Lovačka društva ne mogu vršiti odstrjel na površinama unutar 300 m od naselja, a koja nisu obuhvaćena lovištem. Zbog učestalih pojava predatora (lisica i kuna) u neposrednoj blizini naselja, a gdje nije dopušteno vršiti odstrjel od strane lovačkih društava pristupilo se izradi Odluke o proglašenju površine izvan lovišta na</w:t>
      </w:r>
      <w:r w:rsidR="007C0485">
        <w:rPr>
          <w:rFonts w:ascii="Arial" w:hAnsi="Arial" w:cs="Arial"/>
          <w:sz w:val="20"/>
          <w:szCs w:val="20"/>
        </w:rPr>
        <w:t xml:space="preserve"> području </w:t>
      </w:r>
      <w:r w:rsidRPr="00235EDB">
        <w:rPr>
          <w:rFonts w:ascii="Arial" w:hAnsi="Arial" w:cs="Arial"/>
          <w:sz w:val="20"/>
          <w:szCs w:val="20"/>
        </w:rPr>
        <w:t xml:space="preserve">. </w:t>
      </w:r>
    </w:p>
    <w:p w:rsidR="00081099" w:rsidRPr="00235EDB" w:rsidRDefault="00081099" w:rsidP="00081099">
      <w:pPr>
        <w:spacing w:after="0" w:line="240" w:lineRule="auto"/>
        <w:rPr>
          <w:rFonts w:ascii="Arial" w:hAnsi="Arial" w:cs="Arial"/>
          <w:sz w:val="20"/>
          <w:szCs w:val="20"/>
        </w:rPr>
      </w:pPr>
    </w:p>
    <w:p w:rsidR="00081099" w:rsidRPr="00235EDB" w:rsidRDefault="007C0485" w:rsidP="00081099">
      <w:pPr>
        <w:spacing w:after="0" w:line="240" w:lineRule="auto"/>
        <w:rPr>
          <w:rFonts w:ascii="Arial" w:hAnsi="Arial" w:cs="Arial"/>
          <w:sz w:val="20"/>
          <w:szCs w:val="20"/>
        </w:rPr>
      </w:pPr>
      <w:r>
        <w:rPr>
          <w:rFonts w:ascii="Arial" w:hAnsi="Arial" w:cs="Arial"/>
          <w:sz w:val="20"/>
          <w:szCs w:val="20"/>
        </w:rPr>
        <w:t xml:space="preserve">Temeljem Odluke, Općina </w:t>
      </w:r>
      <w:r w:rsidR="00081099" w:rsidRPr="00235EDB">
        <w:rPr>
          <w:rFonts w:ascii="Arial" w:hAnsi="Arial" w:cs="Arial"/>
          <w:sz w:val="20"/>
          <w:szCs w:val="20"/>
        </w:rPr>
        <w:t xml:space="preserve">može izraditi Program zaštite divljači kojim bi se omogućilo zakonski opravdano uklanjanje divljači, odnosno predatora na najprihvatljiviji i najbrži mogući način s obzirom da divljač radi veliku štetu na poljoprivrednim usjevima i kreće se u neposrednoj blizini naseljenih mjesta. </w:t>
      </w:r>
    </w:p>
    <w:p w:rsidR="00081099" w:rsidRPr="00235EDB" w:rsidRDefault="00081099" w:rsidP="00081099">
      <w:pPr>
        <w:spacing w:after="0" w:line="240" w:lineRule="auto"/>
        <w:rPr>
          <w:rFonts w:ascii="Arial" w:hAnsi="Arial" w:cs="Arial"/>
          <w:sz w:val="20"/>
          <w:szCs w:val="20"/>
        </w:rPr>
      </w:pPr>
    </w:p>
    <w:p w:rsidR="00081099" w:rsidRPr="00235EDB" w:rsidRDefault="00081099" w:rsidP="00081099">
      <w:pPr>
        <w:spacing w:after="0" w:line="240" w:lineRule="auto"/>
        <w:rPr>
          <w:rFonts w:ascii="Arial" w:hAnsi="Arial" w:cs="Arial"/>
          <w:sz w:val="20"/>
          <w:szCs w:val="20"/>
        </w:rPr>
      </w:pPr>
      <w:r w:rsidRPr="00235EDB">
        <w:rPr>
          <w:rFonts w:ascii="Arial" w:hAnsi="Arial" w:cs="Arial"/>
          <w:sz w:val="20"/>
          <w:szCs w:val="20"/>
        </w:rPr>
        <w:t>U prilogu Odluke nalazi se kartografski prikaz granice površine izvan lovi</w:t>
      </w:r>
      <w:r w:rsidR="007C0485">
        <w:rPr>
          <w:rFonts w:ascii="Arial" w:hAnsi="Arial" w:cs="Arial"/>
          <w:sz w:val="20"/>
          <w:szCs w:val="20"/>
        </w:rPr>
        <w:t>šta koja se prostire na ________ ha. Od toga ________</w:t>
      </w:r>
      <w:r w:rsidRPr="00235EDB">
        <w:rPr>
          <w:rFonts w:ascii="Arial" w:hAnsi="Arial" w:cs="Arial"/>
          <w:sz w:val="20"/>
          <w:szCs w:val="20"/>
        </w:rPr>
        <w:t xml:space="preserve"> ha obuhvaća građev</w:t>
      </w:r>
      <w:r w:rsidR="007C0485">
        <w:rPr>
          <w:rFonts w:ascii="Arial" w:hAnsi="Arial" w:cs="Arial"/>
          <w:sz w:val="20"/>
          <w:szCs w:val="20"/>
        </w:rPr>
        <w:t>inska područja naselja i ______</w:t>
      </w:r>
      <w:r w:rsidRPr="00235EDB">
        <w:rPr>
          <w:rFonts w:ascii="Arial" w:hAnsi="Arial" w:cs="Arial"/>
          <w:sz w:val="20"/>
          <w:szCs w:val="20"/>
        </w:rPr>
        <w:t xml:space="preserve"> ha obuhvaća pojas 300 m izvan ranica građevinskih područja naselja. </w:t>
      </w:r>
    </w:p>
    <w:p w:rsidR="00081099" w:rsidRPr="00235EDB" w:rsidRDefault="00081099" w:rsidP="00081099">
      <w:pPr>
        <w:spacing w:after="0" w:line="240" w:lineRule="auto"/>
        <w:rPr>
          <w:rFonts w:ascii="Arial" w:hAnsi="Arial" w:cs="Arial"/>
          <w:sz w:val="20"/>
          <w:szCs w:val="20"/>
        </w:rPr>
      </w:pPr>
    </w:p>
    <w:p w:rsidR="00081099" w:rsidRPr="00235EDB" w:rsidRDefault="00081099" w:rsidP="00081099">
      <w:pPr>
        <w:spacing w:after="0" w:line="240" w:lineRule="auto"/>
        <w:rPr>
          <w:rFonts w:ascii="Arial" w:hAnsi="Arial" w:cs="Arial"/>
          <w:sz w:val="20"/>
          <w:szCs w:val="20"/>
        </w:rPr>
      </w:pPr>
      <w:r w:rsidRPr="00235EDB">
        <w:rPr>
          <w:rFonts w:ascii="Arial" w:hAnsi="Arial" w:cs="Arial"/>
          <w:sz w:val="20"/>
          <w:szCs w:val="20"/>
        </w:rPr>
        <w:t xml:space="preserve">Sastavni dio Programa zaštite divljači predstavlja Akt o proglašenju ili ustanovljenju površine </w:t>
      </w:r>
      <w:r w:rsidR="007C0485">
        <w:rPr>
          <w:rFonts w:ascii="Arial" w:hAnsi="Arial" w:cs="Arial"/>
          <w:sz w:val="20"/>
          <w:szCs w:val="20"/>
        </w:rPr>
        <w:t>izvan lovišta, stoga se Općinskom</w:t>
      </w:r>
      <w:r w:rsidRPr="00235EDB">
        <w:rPr>
          <w:rFonts w:ascii="Arial" w:hAnsi="Arial" w:cs="Arial"/>
          <w:sz w:val="20"/>
          <w:szCs w:val="20"/>
        </w:rPr>
        <w:t xml:space="preserve"> vijeću predlaže da usvoji Odluku u proglašenju površine izvan lo</w:t>
      </w:r>
      <w:r w:rsidR="007C0485">
        <w:rPr>
          <w:rFonts w:ascii="Arial" w:hAnsi="Arial" w:cs="Arial"/>
          <w:sz w:val="20"/>
          <w:szCs w:val="20"/>
        </w:rPr>
        <w:t>višta na području Općine Donji Kraljevec</w:t>
      </w:r>
      <w:r w:rsidRPr="00235EDB">
        <w:rPr>
          <w:rFonts w:ascii="Arial" w:hAnsi="Arial" w:cs="Arial"/>
          <w:sz w:val="20"/>
          <w:szCs w:val="20"/>
        </w:rPr>
        <w:t>.</w:t>
      </w:r>
    </w:p>
    <w:sectPr w:rsidR="00081099" w:rsidRPr="00235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DC8"/>
    <w:multiLevelType w:val="hybridMultilevel"/>
    <w:tmpl w:val="9A366FDC"/>
    <w:lvl w:ilvl="0" w:tplc="04D492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EA"/>
    <w:rsid w:val="00081099"/>
    <w:rsid w:val="0021650C"/>
    <w:rsid w:val="00235EDB"/>
    <w:rsid w:val="004D1C25"/>
    <w:rsid w:val="007C0485"/>
    <w:rsid w:val="009A5EFF"/>
    <w:rsid w:val="009C0401"/>
    <w:rsid w:val="00A21FEA"/>
    <w:rsid w:val="00DD31A8"/>
    <w:rsid w:val="00E201CB"/>
    <w:rsid w:val="00E80AD4"/>
    <w:rsid w:val="00F6230A"/>
    <w:rsid w:val="00F667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3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Bozena</cp:lastModifiedBy>
  <cp:revision>2</cp:revision>
  <dcterms:created xsi:type="dcterms:W3CDTF">2022-01-25T14:13:00Z</dcterms:created>
  <dcterms:modified xsi:type="dcterms:W3CDTF">2022-01-25T14:13:00Z</dcterms:modified>
</cp:coreProperties>
</file>